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Arial" w:hAnsi="Arial"/>
          <w:b/>
          <w:color w:val="404040"/>
          <w:sz w:val="36"/>
          <w:szCs w:val="36"/>
        </w:rPr>
      </w:pPr>
      <w:r>
        <w:rPr>
          <w:rFonts w:ascii="Arial" w:hAnsi="Arial"/>
          <w:b/>
          <w:color w:val="404040"/>
          <w:sz w:val="36"/>
          <w:szCs w:val="36"/>
        </w:rPr>
        <w:t>保护传承非遗</w:t>
      </w:r>
      <w:r>
        <w:rPr>
          <w:rFonts w:ascii="Arial" w:hAnsi="Arial"/>
          <w:b/>
          <w:color w:val="404040"/>
          <w:sz w:val="36"/>
          <w:szCs w:val="36"/>
        </w:rPr>
        <w:t xml:space="preserve"> </w:t>
      </w:r>
      <w:r>
        <w:rPr>
          <w:rFonts w:ascii="Arial" w:hAnsi="Arial"/>
          <w:b/>
          <w:color w:val="404040"/>
          <w:sz w:val="36"/>
          <w:szCs w:val="36"/>
        </w:rPr>
        <w:t>赓续历史文脉</w:t>
      </w:r>
      <w:r>
        <w:rPr>
          <w:rFonts w:ascii="Arial" w:hAnsi="Arial"/>
          <w:b/>
          <w:color w:val="404040"/>
          <w:sz w:val="36"/>
          <w:szCs w:val="36"/>
        </w:rPr>
        <w:t xml:space="preserve"> </w:t>
      </w:r>
      <w:r>
        <w:rPr>
          <w:rFonts w:ascii="Arial" w:hAnsi="Arial"/>
          <w:b/>
          <w:color w:val="404040"/>
          <w:sz w:val="36"/>
          <w:szCs w:val="36"/>
        </w:rPr>
        <w:t>谱写时代华章</w:t>
      </w:r>
    </w:p>
    <w:p>
      <w:pPr>
        <w:jc w:val="center"/>
        <w:rPr>
          <w:rFonts w:ascii="Arial" w:hAnsi="Arial"/>
          <w:color w:val="222222"/>
          <w:sz w:val="31"/>
          <w:szCs w:val="31"/>
          <w:shd w:val="clear" w:color="auto" w:fill="FFFFFF"/>
        </w:rPr>
      </w:pP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  <w:r>
        <w:rPr>
          <w:rFonts w:hint="eastAsia" w:ascii="Arial" w:hAnsi="Arial"/>
          <w:color w:val="222222"/>
          <w:sz w:val="31"/>
          <w:szCs w:val="31"/>
          <w:shd w:val="clear" w:color="auto" w:fill="FFFFFF"/>
          <w:lang w:eastAsia="zh-CN"/>
        </w:rPr>
        <w:t>（通讯员：唐克石）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6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月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8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日晚，武汉市江夏区永旺梦乐城户外大草坪上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“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龙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”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飞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“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凤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”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舞、热闹纷繁，</w:t>
      </w:r>
      <w:r>
        <w:rPr>
          <w:rFonts w:ascii="Arial" w:hAnsi="Arial"/>
          <w:color w:val="404040"/>
          <w:sz w:val="31"/>
          <w:szCs w:val="31"/>
        </w:rPr>
        <w:t>一场以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保护传承非遗</w:t>
      </w:r>
      <w:r>
        <w:rPr>
          <w:rFonts w:hint="eastAsia" w:ascii="Arial" w:hAnsi="Arial"/>
          <w:color w:val="404040"/>
          <w:sz w:val="31"/>
          <w:szCs w:val="31"/>
        </w:rPr>
        <w:t>，</w:t>
      </w:r>
      <w:r>
        <w:rPr>
          <w:rFonts w:ascii="Arial" w:hAnsi="Arial"/>
          <w:color w:val="404040"/>
          <w:sz w:val="31"/>
          <w:szCs w:val="31"/>
        </w:rPr>
        <w:t>赓续历史文脉</w:t>
      </w:r>
      <w:r>
        <w:rPr>
          <w:rFonts w:hint="eastAsia" w:ascii="Arial" w:hAnsi="Arial"/>
          <w:color w:val="404040"/>
          <w:sz w:val="31"/>
          <w:szCs w:val="31"/>
        </w:rPr>
        <w:t>，</w:t>
      </w:r>
      <w:r>
        <w:rPr>
          <w:rFonts w:ascii="Arial" w:hAnsi="Arial"/>
          <w:color w:val="404040"/>
          <w:sz w:val="31"/>
          <w:szCs w:val="31"/>
        </w:rPr>
        <w:t>谱写时代华章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为主题的</w:t>
      </w:r>
      <w:r>
        <w:rPr>
          <w:rFonts w:ascii="Arial" w:hAnsi="Arial"/>
          <w:color w:val="404040"/>
          <w:sz w:val="31"/>
          <w:szCs w:val="31"/>
        </w:rPr>
        <w:t>2024</w:t>
      </w:r>
      <w:r>
        <w:rPr>
          <w:rFonts w:ascii="Arial" w:hAnsi="Arial"/>
          <w:color w:val="404040"/>
          <w:sz w:val="31"/>
          <w:szCs w:val="31"/>
        </w:rPr>
        <w:t>年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文化和自然遗产日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江夏非遗宣传展示活动启动仪式在此如火如荼进行，吸引了上万民众多市民游客驻足观看</w:t>
      </w:r>
      <w:r>
        <w:rPr>
          <w:rFonts w:ascii="Arial" w:hAnsi="Arial"/>
          <w:color w:val="222222"/>
          <w:sz w:val="31"/>
          <w:szCs w:val="31"/>
          <w:shd w:val="clear" w:color="auto" w:fill="FFFFFF"/>
        </w:rPr>
        <w:t>。</w:t>
      </w:r>
      <w:r>
        <w:rPr>
          <w:rFonts w:ascii="Arial" w:hAnsi="Arial"/>
          <w:color w:val="404040"/>
          <w:sz w:val="31"/>
          <w:szCs w:val="31"/>
        </w:rPr>
        <w:t>本次启动仪式围绕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传承、致敬、创新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三个关键词，分为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传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千年文脉</w:t>
      </w:r>
      <w:r>
        <w:rPr>
          <w:rFonts w:ascii="Arial" w:hAnsi="Arial"/>
          <w:color w:val="404040"/>
          <w:sz w:val="31"/>
          <w:szCs w:val="31"/>
        </w:rPr>
        <w:t>·“</w:t>
      </w:r>
      <w:r>
        <w:rPr>
          <w:rFonts w:ascii="Arial" w:hAnsi="Arial"/>
          <w:color w:val="404040"/>
          <w:sz w:val="31"/>
          <w:szCs w:val="31"/>
        </w:rPr>
        <w:t>承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古郡文明、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致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经典传承</w:t>
      </w:r>
      <w:r>
        <w:rPr>
          <w:rFonts w:ascii="Arial" w:hAnsi="Arial"/>
          <w:color w:val="404040"/>
          <w:sz w:val="31"/>
          <w:szCs w:val="31"/>
        </w:rPr>
        <w:t>·“</w:t>
      </w:r>
      <w:r>
        <w:rPr>
          <w:rFonts w:ascii="Arial" w:hAnsi="Arial"/>
          <w:color w:val="404040"/>
          <w:sz w:val="31"/>
          <w:szCs w:val="31"/>
        </w:rPr>
        <w:t>敬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守艺匠心、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创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文化新局，</w:t>
      </w:r>
      <w:r>
        <w:rPr>
          <w:rFonts w:ascii="Arial" w:hAnsi="Arial"/>
          <w:color w:val="404040"/>
          <w:sz w:val="31"/>
          <w:szCs w:val="31"/>
        </w:rPr>
        <w:t>“</w:t>
      </w:r>
      <w:r>
        <w:rPr>
          <w:rFonts w:ascii="Arial" w:hAnsi="Arial"/>
          <w:color w:val="404040"/>
          <w:sz w:val="31"/>
          <w:szCs w:val="31"/>
        </w:rPr>
        <w:t>新</w:t>
      </w:r>
      <w:r>
        <w:rPr>
          <w:rFonts w:ascii="Arial" w:hAnsi="Arial"/>
          <w:color w:val="404040"/>
          <w:sz w:val="31"/>
          <w:szCs w:val="31"/>
        </w:rPr>
        <w:t>”</w:t>
      </w:r>
      <w:r>
        <w:rPr>
          <w:rFonts w:ascii="Arial" w:hAnsi="Arial"/>
          <w:color w:val="404040"/>
          <w:sz w:val="31"/>
          <w:szCs w:val="31"/>
        </w:rPr>
        <w:t>时代风采三大篇章。</w:t>
      </w:r>
    </w:p>
    <w:p>
      <w:pPr>
        <w:rPr>
          <w:rFonts w:ascii="Arial" w:hAnsi="Arial"/>
          <w:color w:val="404040"/>
          <w:sz w:val="31"/>
          <w:szCs w:val="31"/>
        </w:rPr>
      </w:pPr>
      <w:r>
        <w:rPr>
          <w:rFonts w:hint="eastAsia" w:ascii="Arial" w:hAnsi="Arial"/>
          <w:color w:val="404040"/>
          <w:sz w:val="31"/>
          <w:szCs w:val="31"/>
        </w:rPr>
        <w:drawing>
          <wp:inline distT="0" distB="0" distL="0" distR="0">
            <wp:extent cx="5268595" cy="3505200"/>
            <wp:effectExtent l="19050" t="0" r="8255" b="0"/>
            <wp:docPr id="4" name="图片 1" descr="H:\2024年展览与科研\fc1f4134970a304eb115c59e7df48188c9175c6d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H:\2024年展览与科研\fc1f4134970a304eb115c59e7df48188c9175c6d.web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  <w:r>
        <w:rPr>
          <w:rFonts w:ascii="Arial" w:hAnsi="Arial"/>
          <w:color w:val="404040"/>
          <w:sz w:val="31"/>
          <w:szCs w:val="31"/>
        </w:rPr>
        <w:t>武汉市文化和旅游局非遗处处长张疆雁、湖北省工艺美术协会会长范国忠、区政协一级调研员徐光水、区政府办公室二级调研员戈桂林、区文化和旅游局局长王太明、江夏区经济开</w:t>
      </w:r>
      <w:r>
        <w:rPr>
          <w:rFonts w:ascii="Arial" w:hAnsi="Arial"/>
          <w:color w:val="404040"/>
          <w:sz w:val="31"/>
          <w:szCs w:val="31"/>
        </w:rPr>
        <w:t>发区管委会党组书记卢鹏等领导</w:t>
      </w:r>
      <w:r>
        <w:rPr>
          <w:rFonts w:ascii="Arial" w:hAnsi="Arial"/>
          <w:color w:val="404040"/>
          <w:sz w:val="31"/>
          <w:szCs w:val="31"/>
        </w:rPr>
        <w:t>为</w:t>
      </w:r>
      <w:r>
        <w:rPr>
          <w:rFonts w:ascii="Arial" w:hAnsi="Arial"/>
          <w:color w:val="404040"/>
          <w:sz w:val="31"/>
          <w:szCs w:val="31"/>
        </w:rPr>
        <w:t>42</w:t>
      </w:r>
      <w:r>
        <w:rPr>
          <w:rFonts w:ascii="Arial" w:hAnsi="Arial"/>
          <w:color w:val="404040"/>
          <w:sz w:val="31"/>
          <w:szCs w:val="31"/>
        </w:rPr>
        <w:t>项江夏区人民政府第四批、第五批非物质文化遗产代表性项目授牌，</w:t>
      </w:r>
      <w:r>
        <w:rPr>
          <w:rFonts w:hint="eastAsia" w:ascii="Arial" w:hAnsi="Arial"/>
          <w:color w:val="404040"/>
          <w:sz w:val="31"/>
          <w:szCs w:val="31"/>
        </w:rPr>
        <w:t>其中</w:t>
      </w:r>
      <w:r>
        <w:rPr>
          <w:rFonts w:hint="eastAsia" w:ascii="Arial" w:hAnsi="Arial"/>
          <w:color w:val="404040"/>
          <w:sz w:val="31"/>
          <w:szCs w:val="31"/>
          <w:lang w:eastAsia="zh-CN"/>
        </w:rPr>
        <w:t>湖北第二师范学院荆楚非遗传承教育研究中心成员、</w:t>
      </w:r>
      <w:r>
        <w:rPr>
          <w:rFonts w:hint="eastAsia" w:ascii="Arial" w:hAnsi="Arial"/>
          <w:color w:val="404040"/>
          <w:sz w:val="31"/>
          <w:szCs w:val="31"/>
        </w:rPr>
        <w:t>艺术学院唐克石副教授作为第四批</w:t>
      </w:r>
      <w:r>
        <w:rPr>
          <w:rFonts w:ascii="Arial" w:hAnsi="Arial"/>
          <w:color w:val="404040"/>
          <w:sz w:val="31"/>
          <w:szCs w:val="31"/>
        </w:rPr>
        <w:t>非物质文化遗产代表性项目</w:t>
      </w:r>
      <w:r>
        <w:rPr>
          <w:rFonts w:hint="eastAsia" w:ascii="Arial" w:hAnsi="Arial"/>
          <w:color w:val="404040"/>
          <w:sz w:val="31"/>
          <w:szCs w:val="31"/>
        </w:rPr>
        <w:t>中</w:t>
      </w:r>
      <w:r>
        <w:rPr>
          <w:rFonts w:hint="eastAsia" w:ascii="Arial" w:hAnsi="Arial"/>
          <w:color w:val="222222"/>
          <w:sz w:val="31"/>
          <w:szCs w:val="31"/>
          <w:shd w:val="clear" w:color="auto" w:fill="FFFFFF"/>
        </w:rPr>
        <w:t>“江夏青白瓷烧制技艺”</w:t>
      </w:r>
      <w:r>
        <w:rPr>
          <w:rFonts w:hint="eastAsia" w:ascii="Arial" w:hAnsi="Arial"/>
          <w:color w:val="404040"/>
          <w:sz w:val="31"/>
          <w:szCs w:val="31"/>
        </w:rPr>
        <w:t>代表性非遗传承人</w:t>
      </w:r>
      <w:r>
        <w:rPr>
          <w:rFonts w:hint="eastAsia" w:ascii="Arial" w:hAnsi="Arial"/>
          <w:color w:val="404040"/>
          <w:sz w:val="31"/>
          <w:szCs w:val="31"/>
        </w:rPr>
        <w:t>接受授牌。</w:t>
      </w:r>
    </w:p>
    <w:p>
      <w:pPr>
        <w:rPr>
          <w:rFonts w:ascii="Arial" w:hAnsi="Arial"/>
          <w:color w:val="404040"/>
          <w:sz w:val="31"/>
          <w:szCs w:val="31"/>
        </w:rPr>
      </w:pPr>
      <w:r>
        <w:rPr>
          <w:rFonts w:hint="eastAsia" w:ascii="Arial" w:hAnsi="Arial"/>
          <w:color w:val="404040"/>
          <w:sz w:val="31"/>
          <w:szCs w:val="31"/>
        </w:rPr>
        <w:drawing>
          <wp:inline distT="0" distB="0" distL="0" distR="0">
            <wp:extent cx="5273675" cy="2187575"/>
            <wp:effectExtent l="19050" t="0" r="2812" b="0"/>
            <wp:docPr id="5" name="图片 2" descr="H:\2024年展览与科研\微信图片_2024061910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H:\2024年展览与科研\微信图片_202406191042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3864"/>
                    <a:stretch>
                      <a:fillRect/>
                    </a:stretch>
                  </pic:blipFill>
                  <pic:spPr>
                    <a:xfrm>
                      <a:off x="0" y="0"/>
                      <a:ext cx="5274038" cy="218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  <w:color w:val="404040"/>
          <w:sz w:val="31"/>
          <w:szCs w:val="31"/>
        </w:rPr>
      </w:pPr>
      <w:r>
        <w:rPr>
          <w:rFonts w:hint="eastAsia" w:ascii="Arial" w:hAnsi="Arial"/>
          <w:color w:val="404040"/>
          <w:sz w:val="31"/>
          <w:szCs w:val="31"/>
        </w:rPr>
        <w:drawing>
          <wp:inline distT="0" distB="0" distL="0" distR="0">
            <wp:extent cx="5273675" cy="4430395"/>
            <wp:effectExtent l="19050" t="0" r="2812" b="0"/>
            <wp:docPr id="6" name="图片 3" descr="H:\2024年展览与科研\微信图片_20240619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H:\2024年展览与科研\微信图片_20240619104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6899"/>
                    <a:stretch>
                      <a:fillRect/>
                    </a:stretch>
                  </pic:blipFill>
                  <pic:spPr>
                    <a:xfrm>
                      <a:off x="0" y="0"/>
                      <a:ext cx="5274038" cy="443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</w:p>
    <w:p>
      <w:pPr>
        <w:rPr>
          <w:rFonts w:ascii="Arial" w:hAnsi="Arial"/>
          <w:color w:val="404040"/>
          <w:sz w:val="31"/>
          <w:szCs w:val="31"/>
        </w:rPr>
      </w:pPr>
      <w:r>
        <w:rPr>
          <w:rFonts w:hint="eastAsia" w:ascii="Arial" w:hAnsi="Arial"/>
          <w:color w:val="404040"/>
          <w:sz w:val="31"/>
          <w:szCs w:val="31"/>
        </w:rPr>
        <w:drawing>
          <wp:inline distT="0" distB="0" distL="0" distR="0">
            <wp:extent cx="5279390" cy="3635375"/>
            <wp:effectExtent l="19050" t="0" r="0" b="0"/>
            <wp:docPr id="7" name="图片 4" descr="H:\2024年展览与科研\微信图片_20240619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:\2024年展览与科研\微信图片_20240619104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408" b="3581"/>
                    <a:stretch>
                      <a:fillRect/>
                    </a:stretch>
                  </pic:blipFill>
                  <pic:spPr>
                    <a:xfrm>
                      <a:off x="0" y="0"/>
                      <a:ext cx="5279753" cy="363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</w:p>
    <w:p>
      <w:pPr>
        <w:widowControl/>
        <w:jc w:val="left"/>
      </w:pPr>
      <w:r>
        <w:rPr>
          <w:rFonts w:hint="eastAsia" w:ascii="Arial" w:hAnsi="Arial"/>
          <w:color w:val="404040"/>
          <w:sz w:val="31"/>
          <w:szCs w:val="31"/>
          <w:lang w:eastAsia="zh-CN"/>
        </w:rPr>
        <w:t xml:space="preserve">     </w:t>
      </w:r>
      <w:bookmarkStart w:id="0" w:name="_GoBack"/>
      <w:bookmarkEnd w:id="0"/>
      <w:r>
        <w:rPr>
          <w:rFonts w:ascii="Arial" w:hAnsi="Arial"/>
          <w:color w:val="404040"/>
          <w:sz w:val="31"/>
          <w:szCs w:val="31"/>
        </w:rPr>
        <w:t>本次活动由江夏区人民政府主办，江夏区文化和旅游局承办，江夏区文化馆、江夏区非物质文化遗产文化保护中心、江夏区博物馆等单位执行，共青团江夏区委员会、江夏区区校合作促进发展中心、江夏区商务局、江夏经济开发区管委会、江夏区融媒体中心、民建江夏基层委员会等单位协办，特邀云南等地非遗项目和青年创意艺术家充分联动，</w:t>
      </w:r>
      <w:r>
        <w:rPr>
          <w:rFonts w:ascii="仿宋_GB2312" w:hAnsi="宋体" w:eastAsia="仿宋_GB2312" w:cs="仿宋_GB2312"/>
          <w:i w:val="0"/>
          <w:caps w:val="0"/>
          <w:color w:val="333333"/>
          <w:spacing w:val="0"/>
          <w:kern w:val="0"/>
          <w:sz w:val="31"/>
          <w:szCs w:val="31"/>
          <w:u w:val="none"/>
          <w:lang w:val="en-US" w:eastAsia="zh-CN" w:bidi="ar"/>
        </w:rPr>
        <w:t>独具创新，时尚前卫，以当下年轻人群所崇尚的娱乐休闲方式生动地演绎了非遗文化，彰显了匠人精神，让更多新生代的年轻群体关注、非遗文化，让非遗在乡村振兴中大放异彩。</w:t>
      </w:r>
      <w:r>
        <w:rPr>
          <w:rFonts w:ascii="Arial" w:hAnsi="Arial" w:eastAsia="宋体" w:cs="Arial"/>
          <w:i w:val="0"/>
          <w:caps w:val="0"/>
          <w:color w:val="1E1F24"/>
          <w:spacing w:val="3"/>
          <w:kern w:val="0"/>
          <w:sz w:val="28"/>
          <w:szCs w:val="28"/>
          <w:u w:val="none"/>
          <w:shd w:val="clear" w:fill="FFFFFF"/>
          <w:lang w:val="en-US" w:eastAsia="zh-CN" w:bidi="ar"/>
        </w:rPr>
        <w:t>专家们一致认为，</w:t>
      </w:r>
      <w:r>
        <w:rPr>
          <w:rFonts w:hint="eastAsia" w:ascii="Arial" w:hAnsi="Arial" w:eastAsia="宋体" w:cs="Arial"/>
          <w:i w:val="0"/>
          <w:caps w:val="0"/>
          <w:color w:val="1E1F24"/>
          <w:spacing w:val="3"/>
          <w:kern w:val="0"/>
          <w:sz w:val="28"/>
          <w:szCs w:val="28"/>
          <w:u w:val="none"/>
          <w:shd w:val="clear" w:fill="FFFFFF"/>
          <w:lang w:val="en-US" w:eastAsia="zh-CN" w:bidi="ar"/>
        </w:rPr>
        <w:t>授牌</w:t>
      </w:r>
      <w:r>
        <w:rPr>
          <w:rFonts w:ascii="Arial" w:hAnsi="Arial" w:eastAsia="宋体" w:cs="Arial"/>
          <w:i w:val="0"/>
          <w:caps w:val="0"/>
          <w:color w:val="1E1F24"/>
          <w:spacing w:val="3"/>
          <w:kern w:val="0"/>
          <w:sz w:val="28"/>
          <w:szCs w:val="28"/>
          <w:u w:val="none"/>
          <w:shd w:val="clear" w:fill="FFFFFF"/>
          <w:lang w:val="en-US" w:eastAsia="zh-CN" w:bidi="ar"/>
        </w:rPr>
        <w:t>项目具有浓郁的荆楚与武汉地域文化特色，具有很强的历史、文学、艺术、科学价值，兼具真实性、整体性和传承性，对于增强武汉本土文化认同，促进社会和谐和经济文化可持续发展具有重要意义。</w:t>
      </w:r>
    </w:p>
    <w:p>
      <w:pPr>
        <w:ind w:firstLine="620" w:firstLineChars="200"/>
        <w:rPr>
          <w:rFonts w:ascii="Arial" w:hAnsi="Arial"/>
          <w:color w:val="404040"/>
          <w:sz w:val="31"/>
          <w:szCs w:val="31"/>
        </w:rPr>
      </w:pPr>
    </w:p>
    <w:p>
      <w:pPr/>
      <w:r>
        <w:drawing>
          <wp:inline distT="0" distB="0" distL="0" distR="0">
            <wp:extent cx="5279390" cy="2688590"/>
            <wp:effectExtent l="19050" t="0" r="0" b="0"/>
            <wp:docPr id="8" name="图片 5" descr="H:\2024年展览与科研\a1ec08fa513d269757396560f3c794f54216d8eb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H:\2024年展览与科研\a1ec08fa513d269757396560f3c794f54216d8eb.web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110" b="11846"/>
                    <a:stretch>
                      <a:fillRect/>
                    </a:stretch>
                  </pic:blipFill>
                  <pic:spPr>
                    <a:xfrm>
                      <a:off x="0" y="0"/>
                      <a:ext cx="5279753" cy="268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  <w:r>
        <w:rPr>
          <w:rFonts w:hint="eastAsia"/>
        </w:rPr>
        <w:drawing>
          <wp:inline distT="0" distB="0" distL="0" distR="0">
            <wp:extent cx="5268595" cy="3505200"/>
            <wp:effectExtent l="19050" t="0" r="8255" b="0"/>
            <wp:docPr id="9" name="图片 6" descr="H:\2024年展览与科研\d058ccbf6c81800ac994bb211f0915f4828b4772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H:\2024年展览与科研\d058ccbf6c81800ac994bb211f0915f4828b4772.web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/>
    </w:p>
    <w:p>
      <w:pPr/>
    </w:p>
    <w:p>
      <w:pPr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99" w:semiHidden="0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qFormat="1" w:unhideWhenUsed="0" w:uiPriority="99" w:semiHidden="0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keepNext/>
      <w:keepLines/>
      <w:spacing w:before="340" w:after="330" w:line="576" w:lineRule="auto"/>
      <w:outlineLvl w:val="0"/>
    </w:pPr>
    <w:rPr>
      <w:rFonts w:cs="Times New Roman"/>
      <w:b/>
      <w:kern w:val="44"/>
      <w:sz w:val="44"/>
    </w:rPr>
  </w:style>
  <w:style w:type="paragraph" w:styleId="3">
    <w:name w:val="heading 2"/>
    <w:basedOn w:val="1"/>
    <w:next w:val="1"/>
    <w:link w:val="14"/>
    <w:qFormat/>
    <w:uiPriority w:val="99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sz w:val="32"/>
    </w:rPr>
  </w:style>
  <w:style w:type="paragraph" w:styleId="4">
    <w:name w:val="heading 3"/>
    <w:basedOn w:val="1"/>
    <w:next w:val="1"/>
    <w:link w:val="15"/>
    <w:qFormat/>
    <w:uiPriority w:val="99"/>
    <w:pPr>
      <w:keepNext/>
      <w:keepLines/>
      <w:spacing w:before="260" w:after="260" w:line="412" w:lineRule="auto"/>
      <w:outlineLvl w:val="2"/>
    </w:pPr>
    <w:rPr>
      <w:rFonts w:eastAsia="黑体" w:cs="宋体"/>
      <w:b/>
      <w:sz w:val="28"/>
    </w:rPr>
  </w:style>
  <w:style w:type="paragraph" w:styleId="5">
    <w:name w:val="heading 4"/>
    <w:basedOn w:val="1"/>
    <w:next w:val="1"/>
    <w:link w:val="16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 w:cs="Times New Roman"/>
      <w:b/>
      <w:sz w:val="28"/>
    </w:rPr>
  </w:style>
  <w:style w:type="paragraph" w:styleId="6">
    <w:name w:val="heading 5"/>
    <w:basedOn w:val="1"/>
    <w:next w:val="1"/>
    <w:link w:val="17"/>
    <w:qFormat/>
    <w:uiPriority w:val="0"/>
    <w:pPr>
      <w:keepNext/>
      <w:keepLines/>
      <w:spacing w:before="280" w:after="290" w:line="372" w:lineRule="auto"/>
      <w:outlineLvl w:val="4"/>
    </w:pPr>
    <w:rPr>
      <w:rFonts w:eastAsia="黑体" w:cs="Times New Roman"/>
      <w:b/>
      <w:sz w:val="28"/>
    </w:rPr>
  </w:style>
  <w:style w:type="character" w:default="1" w:styleId="10">
    <w:name w:val="Default Paragraph Font"/>
    <w:unhideWhenUsed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22"/>
    <w:unhideWhenUsed/>
    <w:uiPriority w:val="99"/>
    <w:rPr>
      <w:sz w:val="18"/>
      <w:szCs w:val="18"/>
    </w:rPr>
  </w:style>
  <w:style w:type="paragraph" w:styleId="8">
    <w:name w:val="footnote text"/>
    <w:basedOn w:val="1"/>
    <w:link w:val="18"/>
    <w:qFormat/>
    <w:uiPriority w:val="99"/>
    <w:pPr>
      <w:snapToGrid w:val="0"/>
      <w:jc w:val="left"/>
    </w:pPr>
    <w:rPr>
      <w:rFonts w:cs="Times New Roman"/>
      <w:sz w:val="18"/>
      <w:szCs w:val="18"/>
    </w:rPr>
  </w:style>
  <w:style w:type="paragraph" w:styleId="9">
    <w:name w:val="Normal (Web)"/>
    <w:basedOn w:val="1"/>
    <w:qFormat/>
    <w:uiPriority w:val="99"/>
    <w:rPr>
      <w:rFonts w:ascii="Calibri" w:hAnsi="Calibri" w:eastAsia="宋体" w:cs="Times New Roman"/>
      <w:sz w:val="24"/>
      <w:szCs w:val="24"/>
    </w:rPr>
  </w:style>
  <w:style w:type="character" w:styleId="11">
    <w:name w:val="footnote reference"/>
    <w:basedOn w:val="10"/>
    <w:qFormat/>
    <w:uiPriority w:val="99"/>
    <w:rPr>
      <w:vertAlign w:val="superscript"/>
    </w:rPr>
  </w:style>
  <w:style w:type="character" w:customStyle="1" w:styleId="13">
    <w:name w:val="标题 1 Char"/>
    <w:basedOn w:val="10"/>
    <w:link w:val="2"/>
    <w:uiPriority w:val="99"/>
    <w:rPr>
      <w:rFonts w:ascii="等线" w:hAnsi="等线" w:eastAsia="等线" w:cs="Times New Roman"/>
      <w:b/>
      <w:kern w:val="44"/>
      <w:sz w:val="44"/>
      <w:szCs w:val="22"/>
    </w:rPr>
  </w:style>
  <w:style w:type="character" w:customStyle="1" w:styleId="14">
    <w:name w:val="标题 2 Char"/>
    <w:basedOn w:val="10"/>
    <w:link w:val="3"/>
    <w:uiPriority w:val="99"/>
    <w:rPr>
      <w:rFonts w:ascii="Arial" w:hAnsi="Arial" w:eastAsia="黑体" w:cs="Times New Roman"/>
      <w:b/>
      <w:kern w:val="2"/>
      <w:sz w:val="32"/>
      <w:szCs w:val="22"/>
    </w:rPr>
  </w:style>
  <w:style w:type="character" w:customStyle="1" w:styleId="15">
    <w:name w:val="标题 3 Char"/>
    <w:basedOn w:val="10"/>
    <w:link w:val="4"/>
    <w:uiPriority w:val="99"/>
    <w:rPr>
      <w:rFonts w:ascii="等线" w:hAnsi="等线" w:eastAsia="黑体" w:cs="宋体"/>
      <w:b/>
      <w:kern w:val="2"/>
      <w:sz w:val="28"/>
      <w:szCs w:val="22"/>
    </w:rPr>
  </w:style>
  <w:style w:type="character" w:customStyle="1" w:styleId="16">
    <w:name w:val="标题 4 Char"/>
    <w:basedOn w:val="10"/>
    <w:link w:val="5"/>
    <w:uiPriority w:val="0"/>
    <w:rPr>
      <w:rFonts w:ascii="Arial" w:hAnsi="Arial" w:eastAsia="黑体" w:cs="Times New Roman"/>
      <w:b/>
      <w:kern w:val="2"/>
      <w:sz w:val="28"/>
      <w:szCs w:val="22"/>
    </w:rPr>
  </w:style>
  <w:style w:type="character" w:customStyle="1" w:styleId="17">
    <w:name w:val="标题 5 Char"/>
    <w:basedOn w:val="10"/>
    <w:link w:val="6"/>
    <w:uiPriority w:val="0"/>
    <w:rPr>
      <w:rFonts w:ascii="等线" w:hAnsi="等线" w:eastAsia="黑体" w:cs="Times New Roman"/>
      <w:b/>
      <w:kern w:val="2"/>
      <w:sz w:val="28"/>
      <w:szCs w:val="22"/>
    </w:rPr>
  </w:style>
  <w:style w:type="character" w:customStyle="1" w:styleId="18">
    <w:name w:val="脚注文本 Char"/>
    <w:basedOn w:val="10"/>
    <w:link w:val="8"/>
    <w:uiPriority w:val="99"/>
    <w:rPr>
      <w:rFonts w:ascii="等线" w:hAnsi="等线" w:eastAsia="等线" w:cs="Times New Roman"/>
      <w:kern w:val="2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/>
    </w:pPr>
    <w:rPr>
      <w:rFonts w:cs="Times New Roman"/>
    </w:rPr>
  </w:style>
  <w:style w:type="paragraph" w:customStyle="1" w:styleId="20">
    <w:name w:val="列表段落1"/>
    <w:basedOn w:val="1"/>
    <w:qFormat/>
    <w:uiPriority w:val="99"/>
    <w:pPr>
      <w:ind w:firstLine="420"/>
    </w:pPr>
    <w:rPr>
      <w:rFonts w:cs="Times New Roman"/>
    </w:rPr>
  </w:style>
  <w:style w:type="character" w:customStyle="1" w:styleId="21">
    <w:name w:val="bjh-p"/>
    <w:qFormat/>
    <w:uiPriority w:val="99"/>
  </w:style>
  <w:style w:type="character" w:customStyle="1" w:styleId="22">
    <w:name w:val="批注框文本 Char"/>
    <w:basedOn w:val="10"/>
    <w:link w:val="7"/>
    <w:semiHidden/>
    <w:uiPriority w:val="99"/>
    <w:rPr>
      <w:rFonts w:ascii="等线" w:hAnsi="等线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95</Words>
  <Characters>542</Characters>
  <Lines>4</Lines>
  <Paragraphs>1</Paragraphs>
  <TotalTime>0</TotalTime>
  <ScaleCrop>false</ScaleCrop>
  <LinksUpToDate>false</LinksUpToDate>
  <CharactersWithSpaces>636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2024-06-19T10:09:00Z</dcterms:created>
  <dc:creator>Administrator</dc:creator>
  <cp:lastModifiedBy>iPhone</cp:lastModifiedBy>
  <dcterms:modified xsi:type="dcterms:W3CDTF">2024-06-20T08:49:33Z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7D8E636FCC05F023304F7266493B5819_31</vt:lpwstr>
  </property>
  <property fmtid="{D5CDD505-2E9C-101B-9397-08002B2CF9AE}" pid="3" name="KSOProductBuildVer">
    <vt:lpwstr>2052-12.13.3</vt:lpwstr>
  </property>
</Properties>
</file>